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D45" w:rsidRPr="00414A3F" w:rsidRDefault="00395D45" w:rsidP="00395D45">
      <w:pPr>
        <w:pStyle w:val="box467349"/>
        <w:rPr>
          <w:b/>
        </w:rPr>
      </w:pPr>
      <w:r w:rsidRPr="00414A3F">
        <w:rPr>
          <w:b/>
        </w:rPr>
        <w:t>Vlada Republike Hrvatske</w:t>
      </w:r>
    </w:p>
    <w:p w:rsidR="00395D45" w:rsidRDefault="00395D45" w:rsidP="00395D45">
      <w:pPr>
        <w:pStyle w:val="box467349"/>
      </w:pPr>
      <w:r>
        <w:t>814</w:t>
      </w:r>
    </w:p>
    <w:p w:rsidR="00395D45" w:rsidRDefault="00395D45" w:rsidP="00395D45">
      <w:pPr>
        <w:pStyle w:val="box467349"/>
      </w:pPr>
      <w:r>
        <w:t>Na temelju članka 43. stavka 1. Zakona o financiranju političkih aktivnosti, izborne promidžbe i referenduma (»Narodne novine«, br. 29/19. i 98/19.), Vlada Republike Hrvatske je na sjednici održanoj 14. travnja 2021. donijela</w:t>
      </w:r>
    </w:p>
    <w:p w:rsidR="00395D45" w:rsidRPr="00414A3F" w:rsidRDefault="00395D45" w:rsidP="00414A3F">
      <w:pPr>
        <w:pStyle w:val="box467349"/>
        <w:jc w:val="center"/>
        <w:rPr>
          <w:highlight w:val="yellow"/>
        </w:rPr>
      </w:pPr>
      <w:r w:rsidRPr="00414A3F">
        <w:rPr>
          <w:highlight w:val="yellow"/>
        </w:rPr>
        <w:t>ODLUKU</w:t>
      </w:r>
    </w:p>
    <w:p w:rsidR="00395D45" w:rsidRDefault="00395D45" w:rsidP="00395D45">
      <w:pPr>
        <w:pStyle w:val="box467349"/>
      </w:pPr>
      <w:r w:rsidRPr="00414A3F">
        <w:rPr>
          <w:highlight w:val="yellow"/>
        </w:rPr>
        <w:t>O VISINI NAKNADE TROŠKOVA IZBORNE PROMIDŽBE ZA IZBOR ČLANOVA PREDSTAVNIČKIH TIJELA JEDINICA LOKALNE I PODRUČNE (REGIONALNE) SAMOUPRAVE</w:t>
      </w:r>
    </w:p>
    <w:p w:rsidR="00395D45" w:rsidRDefault="00395D45" w:rsidP="00395D45">
      <w:pPr>
        <w:pStyle w:val="box467349"/>
      </w:pPr>
      <w:r>
        <w:t>I.</w:t>
      </w:r>
    </w:p>
    <w:p w:rsidR="00395D45" w:rsidRDefault="00395D45" w:rsidP="00395D45">
      <w:pPr>
        <w:pStyle w:val="box467349"/>
      </w:pPr>
      <w:r>
        <w:t>Ovom Odlukom utvrđuje se visina naknade troškova izborne promidžbe za izbor članova predstavničkih tijela jedinica lokalne i područne (regionalne) samouprave.</w:t>
      </w:r>
    </w:p>
    <w:p w:rsidR="00395D45" w:rsidRDefault="00395D45" w:rsidP="00395D45">
      <w:pPr>
        <w:pStyle w:val="box467349"/>
      </w:pPr>
      <w:r>
        <w:t>II.</w:t>
      </w:r>
    </w:p>
    <w:p w:rsidR="00395D45" w:rsidRDefault="00395D45" w:rsidP="00395D45">
      <w:pPr>
        <w:pStyle w:val="box467349"/>
      </w:pPr>
      <w:r>
        <w:t>Pravo na naknadu troškova iz točke I. ove Odluke imaju političke stranke i liste grupe birača koje na izborima za članove predstavničkih tijela jedinica lokalne i područne (regionalne) samouprave dobiju najmanje jednog člana predstavničkog tijela.</w:t>
      </w:r>
    </w:p>
    <w:p w:rsidR="00395D45" w:rsidRDefault="00395D45" w:rsidP="00395D45">
      <w:pPr>
        <w:pStyle w:val="box467349"/>
      </w:pPr>
      <w:r>
        <w:t>III.</w:t>
      </w:r>
    </w:p>
    <w:p w:rsidR="00395D45" w:rsidRDefault="00395D45" w:rsidP="00395D45">
      <w:pPr>
        <w:pStyle w:val="box467349"/>
      </w:pPr>
      <w:r>
        <w:t>Političke stranke i liste grupe birača koje na izborima za članove općinskog vijeća u jedinicama lokalne samouprave koje imaju do 1.000 stanovnika, dobiju najmanje jednog člana predstavničkog tijela, imaju pravo na naknadu troškova izborne promidžbe u iznosu od 1.000,00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IV.</w:t>
      </w:r>
    </w:p>
    <w:p w:rsidR="00395D45" w:rsidRDefault="00395D45" w:rsidP="00395D45">
      <w:pPr>
        <w:pStyle w:val="box467349"/>
      </w:pPr>
      <w:r>
        <w:t>Političke stranke i liste grupe birača koje na izborima za članove općinskog i gradskog vijeća u jedinicama lokalne samouprave koje imaju od 1.001 do 5.000 stanovnika, dobiju najmanje jednog člana predstavničkog tijela, imaju pravo na naknadu troškova izborne promidžbe u iznosu od 1.500,00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V.</w:t>
      </w:r>
    </w:p>
    <w:p w:rsidR="00395D45" w:rsidRDefault="00395D45" w:rsidP="00395D45">
      <w:pPr>
        <w:pStyle w:val="box467349"/>
      </w:pPr>
      <w:r>
        <w:t>Političke stranke i liste grupe birača koje na izborima za članove općinskog i gradskog vijeća u jedinicama lokalne samouprave koje imaju od 5.001 do 10.000 stanovnika, dobiju najmanje jednog člana predstavničkog tijela, imaju pravo na naknadu troškova izborne promidžbe u iznosu od 2.000,00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VI.</w:t>
      </w:r>
    </w:p>
    <w:p w:rsidR="00395D45" w:rsidRDefault="00395D45" w:rsidP="00395D45">
      <w:pPr>
        <w:pStyle w:val="box467349"/>
      </w:pPr>
      <w:r>
        <w:lastRenderedPageBreak/>
        <w:t>Političke stranke i liste grupe birača koje na izborima za članove općinskog i gradskog vijeća u jedinicama lokalne samouprave koje imaju od 10.001 do 20.000 stanovnika, dobiju najmanje jednog člana predstavničkog tijela, imaju pravo na naknadu troškova izborne promidžbe u iznosu od 2.500,00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VII.</w:t>
      </w:r>
    </w:p>
    <w:p w:rsidR="00395D45" w:rsidRDefault="00395D45" w:rsidP="00395D45">
      <w:pPr>
        <w:pStyle w:val="box467349"/>
      </w:pPr>
      <w:r>
        <w:t>Političke stranke i liste grupe birača koje na izborima za članove gradskog vijeća u jedinicama lokalne samouprave koje imaju od 20.001 do 35.000 stanovnika, dobiju najmanje jednog člana predstavničkog tijela, imaju pravo na naknadu troškova izborne promidžbe u iznosu od 3.000,00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VIII.</w:t>
      </w:r>
    </w:p>
    <w:p w:rsidR="00395D45" w:rsidRPr="00414A3F" w:rsidRDefault="00395D45" w:rsidP="00395D45">
      <w:pPr>
        <w:pStyle w:val="box467349"/>
      </w:pPr>
      <w:r>
        <w:t xml:space="preserve">Političke stranke i liste grupe birača koje na izborima za članove gradskog vijeća i županijske skupštine u jedinicama lokalne i područne (regionalne) samouprave koje imaju od 35.001 do 100.000 stanovnika, dobiju najmanje jednog člana predstavničkog tijela, imaju pravo na naknadu troškova izborne promidžbe u iznosu od 4.000,00 kuna za svakog člana, </w:t>
      </w:r>
      <w:r w:rsidRPr="00414A3F">
        <w:rPr>
          <w:highlight w:val="yellow"/>
        </w:rPr>
        <w:t>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IX.</w:t>
      </w:r>
    </w:p>
    <w:p w:rsidR="00395D45" w:rsidRDefault="00395D45" w:rsidP="00395D45">
      <w:pPr>
        <w:pStyle w:val="box467349"/>
      </w:pPr>
      <w:r>
        <w:t>Političke stranke i liste grupe birača koje na izborima za članove gradskog vijeća i županijske skupštine u jedinicama lokalne i područne (regionalne) samouprave koje imaju od 100.001 do 200.000 stanovnika, dobiju najmanje jednog člana predstavničkog tijela, imaju pravo na naknadu troškova izborne promidžbe u iznosu od 5.000,00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X.</w:t>
      </w:r>
    </w:p>
    <w:p w:rsidR="00395D45" w:rsidRDefault="00395D45" w:rsidP="00395D45">
      <w:pPr>
        <w:pStyle w:val="box467349"/>
      </w:pPr>
      <w:r>
        <w:t>Političke stranke i liste grupe birača koje na izborima za članove županijske skupštine u jedinicama područne (regionalne) samouprave koje imaju od 200.001 do 500.000 stanovnika, dobiju najmanje jednog člana predstavničkog tijela, imaju pravo na naknadu troškova izborne promidžbe u iznosu od 7.000,00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XI.</w:t>
      </w:r>
    </w:p>
    <w:p w:rsidR="00395D45" w:rsidRDefault="00395D45" w:rsidP="00395D45">
      <w:pPr>
        <w:pStyle w:val="box467349"/>
      </w:pPr>
      <w:r>
        <w:t>Političke stranke i liste grupe birača koje na izborima za članove Gradske skupštine Grada Zagreba, dobiju najmanje jednog člana predstavničkog tijela, imaju pravo na naknadu troškova izborne promidžbe u iznosu od 10.000,00 kuna za svakog člana, s time da se naknada troškova izborne promidžbe ne smije isplatiti u iznosu većem od ostvarenih troškova izborne promidžbe.</w:t>
      </w:r>
    </w:p>
    <w:p w:rsidR="00395D45" w:rsidRDefault="00395D45" w:rsidP="00395D45">
      <w:pPr>
        <w:pStyle w:val="box467349"/>
      </w:pPr>
      <w:r>
        <w:t>XII.</w:t>
      </w:r>
    </w:p>
    <w:p w:rsidR="00395D45" w:rsidRDefault="00395D45" w:rsidP="00395D45">
      <w:pPr>
        <w:pStyle w:val="box467349"/>
      </w:pPr>
      <w:r>
        <w:t>Naknada troškova izborne promidžbe isplaćuje se političkim strankama na poseban račun političke stranke otvoren za financiranje troškova izborne promidžbe.</w:t>
      </w:r>
    </w:p>
    <w:p w:rsidR="00395D45" w:rsidRDefault="00395D45" w:rsidP="00395D45">
      <w:pPr>
        <w:pStyle w:val="box467349"/>
      </w:pPr>
      <w:r>
        <w:lastRenderedPageBreak/>
        <w:t>Naknada troškova izborne promidžbe listama grupe birača ispl</w:t>
      </w:r>
      <w:bookmarkStart w:id="0" w:name="_GoBack"/>
      <w:bookmarkEnd w:id="0"/>
      <w:r>
        <w:t>aćuje se na poseban račun nositelja liste grupe birača, otvoren za financiranje troškova izborne promidžbe.</w:t>
      </w:r>
    </w:p>
    <w:p w:rsidR="00395D45" w:rsidRDefault="00395D45" w:rsidP="00395D45">
      <w:pPr>
        <w:pStyle w:val="box467349"/>
      </w:pPr>
      <w:r>
        <w:t>XIII.</w:t>
      </w:r>
    </w:p>
    <w:p w:rsidR="00395D45" w:rsidRDefault="00395D45" w:rsidP="00395D45">
      <w:pPr>
        <w:pStyle w:val="box467349"/>
      </w:pPr>
      <w:r>
        <w:t>Naknada troškova izborne promidžbe isplatit će se iz proračuna jedinice lokalne i područne (regionalne) samouprave za čije se predstavničko tijelo izbori provode, u roku od 15 dana od dana objave izvješća Državnog izbornog povjerenstva Republike Hrvatske o nadzoru poštivanja odredbi Zakona o financiranju političkih aktivnosti, izborne promidžbe i referenduma (»Narodne novine«, br. 29/19. i 98/19.) koje se odnose na izbornu promidžbu, iz članka 61. toga Zakona.</w:t>
      </w:r>
    </w:p>
    <w:p w:rsidR="00395D45" w:rsidRDefault="00395D45" w:rsidP="00395D45">
      <w:pPr>
        <w:pStyle w:val="box467349"/>
      </w:pPr>
      <w:r>
        <w:t>XIV.</w:t>
      </w:r>
    </w:p>
    <w:p w:rsidR="00395D45" w:rsidRDefault="00395D45" w:rsidP="00395D45">
      <w:pPr>
        <w:pStyle w:val="box467349"/>
      </w:pPr>
      <w:r>
        <w:t>Ova Odluka stupa na snagu prvoga dana od dana objave u »Narodnim novinama«.</w:t>
      </w:r>
    </w:p>
    <w:p w:rsidR="00395D45" w:rsidRDefault="00395D45" w:rsidP="00395D45">
      <w:pPr>
        <w:pStyle w:val="box467349"/>
      </w:pPr>
      <w:r>
        <w:t>Klasa: 022-03/21-04/99</w:t>
      </w:r>
    </w:p>
    <w:p w:rsidR="00395D45" w:rsidRDefault="00395D45" w:rsidP="00395D45">
      <w:pPr>
        <w:pStyle w:val="box467349"/>
      </w:pPr>
      <w:proofErr w:type="spellStart"/>
      <w:r>
        <w:t>Urbroj</w:t>
      </w:r>
      <w:proofErr w:type="spellEnd"/>
      <w:r>
        <w:t>: 50301-21/32-21-2</w:t>
      </w:r>
    </w:p>
    <w:p w:rsidR="00395D45" w:rsidRDefault="00395D45" w:rsidP="00395D45">
      <w:pPr>
        <w:pStyle w:val="box467349"/>
      </w:pPr>
      <w:r>
        <w:t>Zagreb, 14. travnja 2021.</w:t>
      </w:r>
    </w:p>
    <w:p w:rsidR="00395D45" w:rsidRDefault="00395D45" w:rsidP="00395D45">
      <w:pPr>
        <w:pStyle w:val="box467349"/>
      </w:pPr>
      <w:r w:rsidRPr="00414A3F">
        <w:rPr>
          <w:highlight w:val="yellow"/>
        </w:rPr>
        <w:t>Predsjednik</w:t>
      </w:r>
      <w:r w:rsidRPr="00414A3F">
        <w:rPr>
          <w:highlight w:val="yellow"/>
        </w:rPr>
        <w:br/>
      </w:r>
      <w:r w:rsidRPr="00414A3F">
        <w:rPr>
          <w:rStyle w:val="bold"/>
          <w:highlight w:val="yellow"/>
        </w:rPr>
        <w:t xml:space="preserve">mr. </w:t>
      </w:r>
      <w:proofErr w:type="spellStart"/>
      <w:r w:rsidRPr="00414A3F">
        <w:rPr>
          <w:rStyle w:val="bold"/>
          <w:highlight w:val="yellow"/>
        </w:rPr>
        <w:t>sc</w:t>
      </w:r>
      <w:proofErr w:type="spellEnd"/>
      <w:r w:rsidRPr="00414A3F">
        <w:rPr>
          <w:rStyle w:val="bold"/>
          <w:highlight w:val="yellow"/>
        </w:rPr>
        <w:t xml:space="preserve">. Andrej Plenković, </w:t>
      </w:r>
      <w:r w:rsidRPr="00414A3F">
        <w:rPr>
          <w:highlight w:val="yellow"/>
        </w:rPr>
        <w:t>v. r.</w:t>
      </w:r>
    </w:p>
    <w:p w:rsidR="00395D45" w:rsidRDefault="00395D45" w:rsidP="00395D45"/>
    <w:p w:rsidR="00395D45" w:rsidRDefault="00395D45" w:rsidP="00395D45"/>
    <w:p w:rsidR="00C7791D" w:rsidRDefault="00414A3F"/>
    <w:sectPr w:rsidR="00C77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45"/>
    <w:rsid w:val="00225548"/>
    <w:rsid w:val="00395D45"/>
    <w:rsid w:val="00414A3F"/>
    <w:rsid w:val="00426459"/>
    <w:rsid w:val="00606336"/>
    <w:rsid w:val="00831B72"/>
    <w:rsid w:val="00ED5ED2"/>
    <w:rsid w:val="00F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96E28-D95D-4FF0-A83C-50A11D00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D45"/>
    <w:pPr>
      <w:spacing w:after="0" w:line="240" w:lineRule="auto"/>
    </w:pPr>
    <w:rPr>
      <w:rFonts w:ascii="Calibri" w:hAnsi="Calibri" w:cs="Calibri"/>
      <w:lang w:eastAsia="hr-HR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395D45"/>
    <w:pPr>
      <w:keepNext/>
      <w:spacing w:before="40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95D45"/>
    <w:rPr>
      <w:rFonts w:ascii="Calibri Light" w:hAnsi="Calibri Light" w:cs="Calibri Light"/>
      <w:color w:val="2F5496"/>
      <w:sz w:val="26"/>
      <w:szCs w:val="2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5D45"/>
    <w:rPr>
      <w:color w:val="0000FF"/>
      <w:u w:val="single"/>
    </w:rPr>
  </w:style>
  <w:style w:type="paragraph" w:customStyle="1" w:styleId="box467349">
    <w:name w:val="box_467349"/>
    <w:basedOn w:val="Normal"/>
    <w:rsid w:val="00395D45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395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862</Words>
  <Characters>4916</Characters>
  <Application>Microsoft Office Word</Application>
  <DocSecurity>0</DocSecurity>
  <Lines>40</Lines>
  <Paragraphs>11</Paragraphs>
  <ScaleCrop>false</ScaleCrop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2021-08-02T19:50:00Z</dcterms:created>
  <dcterms:modified xsi:type="dcterms:W3CDTF">2021-08-02T21:13:00Z</dcterms:modified>
</cp:coreProperties>
</file>